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255"/>
          <w:numId w:val="0"/>
        </w:numPr>
        <w:kinsoku/>
        <w:wordWrap w:val="0"/>
        <w:overflowPunct w:val="0"/>
        <w:topLinePunct w:val="0"/>
        <w:autoSpaceDE/>
        <w:autoSpaceDN/>
        <w:bidi w:val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</w:p>
    <w:p>
      <w:pPr>
        <w:pStyle w:val="3"/>
        <w:bidi w:val="0"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Hans"/>
        </w:rPr>
        <w:t>202</w:t>
      </w:r>
      <w:r>
        <w:rPr>
          <w:rFonts w:hint="eastAsia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Hans"/>
        </w:rPr>
        <w:t>年山东省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CN"/>
        </w:rPr>
        <w:t>届</w:t>
      </w:r>
      <w:r>
        <w:rPr>
          <w:rFonts w:hint="default" w:ascii="Times New Roman" w:hAnsi="Times New Roman" w:eastAsia="方正小标宋简体" w:cs="Times New Roman"/>
          <w:b w:val="0"/>
          <w:color w:val="auto"/>
          <w:sz w:val="36"/>
          <w:szCs w:val="36"/>
          <w:highlight w:val="none"/>
          <w:lang w:val="en-US" w:eastAsia="zh-Hans"/>
        </w:rPr>
        <w:t>科普讲解大赛推荐情况表</w:t>
      </w:r>
    </w:p>
    <w:tbl>
      <w:tblPr>
        <w:tblStyle w:val="5"/>
        <w:tblpPr w:leftFromText="180" w:rightFromText="180" w:vertAnchor="text" w:horzAnchor="page" w:tblpX="1856" w:tblpY="85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2442"/>
        <w:gridCol w:w="1430"/>
        <w:gridCol w:w="2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选手姓名</w:t>
            </w: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讲解主题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内容领域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推荐情况（是/否）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widowControl/>
        <w:tabs>
          <w:tab w:val="left" w:pos="3631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0" w:firstLineChars="0"/>
        <w:jc w:val="righ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Hans"/>
        </w:rPr>
        <w:t>：           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Hans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Hans"/>
        </w:rPr>
        <w:t>）</w:t>
      </w:r>
    </w:p>
    <w:p>
      <w:pPr>
        <w:pageBreakBefore w:val="0"/>
        <w:widowControl/>
        <w:tabs>
          <w:tab w:val="left" w:pos="3631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推荐单位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Hans"/>
        </w:rPr>
        <w:t xml:space="preserve">：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 xml:space="preserve">           联系方式：            </w:t>
      </w:r>
    </w:p>
    <w:p>
      <w:pPr>
        <w:keepNext w:val="0"/>
        <w:keepLines w:val="0"/>
        <w:pageBreakBefore w:val="0"/>
        <w:widowControl/>
        <w:tabs>
          <w:tab w:val="left" w:pos="36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363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注：领域包括但不限于：双碳战略、环境保护、人口健康、生物安全、创新方法、先进技术、自然保护、安全生产、防灾减灾、生活常识、天文、地理、化学等领域。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07A3E58"/>
    <w:rsid w:val="107A3E58"/>
    <w:rsid w:val="495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2024-07-05T08:46:00Z</dcterms:created>
  <dc:creator>'Always</dc:creator>
  <cp:lastModifiedBy>'Always</cp:lastModifiedBy>
  <dcterms:modified xsi:type="dcterms:W3CDTF">2024-07-05T08:47:09Z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40A284380BBF4547A30FAD952F75A147_11</vt:lpwstr>
  </property>
</Properties>
</file>